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41E0A19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0AF3B12C">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61A468C2">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B53D62E">
      <w:pPr>
        <w:pStyle w:val="196"/>
        <w:framePr w:wrap="around"/>
      </w:pPr>
      <w:r>
        <w:t>Q/</w:t>
      </w:r>
      <w:bookmarkStart w:id="1" w:name="文字1"/>
      <w:r>
        <w:rPr>
          <w:rFonts w:hint="eastAsia"/>
        </w:rPr>
        <w:fldChar w:fldCharType="begin">
          <w:ffData>
            <w:name w:val="文字1"/>
            <w:enabled/>
            <w:calcOnExit w:val="0"/>
            <w:textInput>
              <w:default w:val="YLBZ 23"/>
            </w:textInput>
          </w:ffData>
        </w:fldChar>
      </w:r>
      <w:r>
        <w:rPr>
          <w:rFonts w:hint="eastAsia"/>
        </w:rPr>
        <w:instrText xml:space="preserve">FORMTEXT</w:instrText>
      </w:r>
      <w:r>
        <w:rPr>
          <w:rFonts w:hint="eastAsia"/>
        </w:rPr>
        <w:fldChar w:fldCharType="separate"/>
      </w:r>
      <w:r>
        <w:rPr>
          <w:rFonts w:hint="eastAsia"/>
        </w:rPr>
        <w:t>YLBZ 23</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5A4C9EA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6EE433">
      <w:pPr>
        <w:pStyle w:val="51"/>
        <w:framePr w:w="9639" w:h="6976" w:hRule="exact" w:hSpace="0" w:vSpace="0" w:wrap="around" w:hAnchor="page" w:y="6408"/>
        <w:jc w:val="center"/>
        <w:rPr>
          <w:rFonts w:hint="eastAsia" w:ascii="黑体" w:hAnsi="黑体" w:eastAsia="黑体"/>
          <w:b w:val="0"/>
          <w:bCs w:val="0"/>
          <w:w w:val="100"/>
        </w:rPr>
      </w:pPr>
    </w:p>
    <w:p w14:paraId="61356492">
      <w:pPr>
        <w:pStyle w:val="198"/>
        <w:framePr w:h="6974" w:hRule="exact" w:wrap="around" w:x="1419" w:anchorLock="1"/>
        <w:rPr>
          <w:rFonts w:hint="eastAsia"/>
        </w:rPr>
      </w:pPr>
      <w:r>
        <w:rPr>
          <w:rFonts w:hint="eastAsia"/>
        </w:rPr>
        <w:t>单边医疗保险人员在职转退休申办</w:t>
      </w:r>
    </w:p>
    <w:p w14:paraId="58603265">
      <w:pPr>
        <w:pStyle w:val="198"/>
        <w:framePr w:h="6974" w:hRule="exact" w:wrap="around" w:x="1419" w:anchorLock="1"/>
        <w:rPr>
          <w:rFonts w:hint="eastAsia"/>
        </w:rPr>
      </w:pPr>
      <w:r>
        <w:rPr>
          <w:rFonts w:hint="eastAsia"/>
        </w:rPr>
        <w:t>工作指南</w:t>
      </w:r>
    </w:p>
    <w:p w14:paraId="7D7A221B">
      <w:pPr>
        <w:framePr w:w="9639" w:h="6974" w:hRule="exact" w:wrap="around" w:vAnchor="page" w:hAnchor="page" w:x="1419" w:y="6408" w:anchorLock="1"/>
        <w:ind w:left="-1418"/>
      </w:pPr>
    </w:p>
    <w:p w14:paraId="517B68B5">
      <w:pPr>
        <w:pStyle w:val="126"/>
        <w:framePr w:w="9639" w:h="6974" w:hRule="exact" w:wrap="around" w:vAnchor="page" w:hAnchor="page" w:x="1419" w:y="6408" w:anchorLock="1"/>
        <w:textAlignment w:val="bottom"/>
        <w:rPr>
          <w:rFonts w:eastAsia="黑体"/>
          <w:szCs w:val="28"/>
        </w:rPr>
      </w:pPr>
    </w:p>
    <w:p w14:paraId="066CCE2F">
      <w:pPr>
        <w:framePr w:w="9639" w:h="6974" w:hRule="exact" w:wrap="around" w:vAnchor="page" w:hAnchor="page" w:x="1419" w:y="6408" w:anchorLock="1"/>
        <w:spacing w:line="760" w:lineRule="exact"/>
        <w:ind w:left="-1418"/>
      </w:pPr>
    </w:p>
    <w:p w14:paraId="172EA02B">
      <w:pPr>
        <w:pStyle w:val="126"/>
        <w:framePr w:w="9639" w:h="6974" w:hRule="exact" w:wrap="around" w:vAnchor="page" w:hAnchor="page" w:x="1419" w:y="6408" w:anchorLock="1"/>
        <w:textAlignment w:val="bottom"/>
        <w:rPr>
          <w:rFonts w:eastAsia="黑体"/>
          <w:szCs w:val="28"/>
        </w:rPr>
      </w:pPr>
    </w:p>
    <w:p w14:paraId="72C342D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7E865A2">
      <w:pPr>
        <w:pStyle w:val="126"/>
        <w:framePr w:w="9639" w:h="6974" w:hRule="exact" w:wrap="around" w:vAnchor="page" w:hAnchor="page" w:x="1419" w:y="6408" w:anchorLock="1"/>
        <w:spacing w:before="180" w:line="240" w:lineRule="atLeast"/>
        <w:textAlignment w:val="bottom"/>
        <w:rPr>
          <w:sz w:val="21"/>
          <w:szCs w:val="28"/>
        </w:rPr>
      </w:pPr>
    </w:p>
    <w:p w14:paraId="398FD9C9">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EA2B701">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23538A0A">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56E371F4">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E97930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7F14BC3">
      <w:pPr>
        <w:pStyle w:val="90"/>
        <w:spacing w:after="468"/>
      </w:pPr>
      <w:bookmarkStart w:id="5" w:name="BookMark2"/>
      <w:r>
        <w:rPr>
          <w:spacing w:val="320"/>
        </w:rPr>
        <w:t>前</w:t>
      </w:r>
      <w:r>
        <w:t>言</w:t>
      </w:r>
    </w:p>
    <w:p w14:paraId="0EF4635E">
      <w:pPr>
        <w:pStyle w:val="57"/>
        <w:ind w:firstLine="420"/>
      </w:pPr>
      <w:r>
        <w:rPr>
          <w:rFonts w:hint="eastAsia"/>
        </w:rPr>
        <w:t>本文件按照GB/T 1.1—2020《标准化工作导则  第1部分：标准化文件的结构和起草规则》的规定起草。</w:t>
      </w:r>
    </w:p>
    <w:p w14:paraId="5094B35C">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73B1C2AF">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0586B3D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1BAE8AD7">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12110904">
      <w:pPr>
        <w:pStyle w:val="57"/>
        <w:ind w:firstLine="420"/>
        <w:rPr>
          <w:color w:val="000000" w:themeColor="text1"/>
          <w14:textFill>
            <w14:solidFill>
              <w14:schemeClr w14:val="tx1"/>
            </w14:solidFill>
          </w14:textFill>
        </w:rPr>
      </w:pPr>
    </w:p>
    <w:p w14:paraId="329386B1">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60A2FC88">
      <w:pPr>
        <w:spacing w:line="20" w:lineRule="exact"/>
        <w:jc w:val="center"/>
        <w:rPr>
          <w:rFonts w:hint="eastAsia" w:ascii="黑体" w:hAnsi="黑体" w:eastAsia="黑体"/>
          <w:sz w:val="32"/>
          <w:szCs w:val="32"/>
        </w:rPr>
      </w:pPr>
      <w:bookmarkStart w:id="6" w:name="BookMark4"/>
    </w:p>
    <w:p w14:paraId="67BECB24">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1D8406D6">
          <w:pPr>
            <w:pStyle w:val="178"/>
            <w:spacing w:before="312" w:beforeLines="100" w:after="686" w:afterLines="220"/>
            <w:rPr>
              <w:rFonts w:hint="eastAsia"/>
            </w:rPr>
          </w:pPr>
          <w:bookmarkStart w:id="7" w:name="NEW_STAND_NAME"/>
          <w:r>
            <w:rPr>
              <w:rFonts w:hint="eastAsia"/>
            </w:rPr>
            <w:t>单边医疗保险人员在职转退休申办工作指南</w:t>
          </w:r>
        </w:p>
      </w:sdtContent>
    </w:sdt>
    <w:bookmarkEnd w:id="7"/>
    <w:p w14:paraId="6D0702A7">
      <w:pPr>
        <w:pStyle w:val="105"/>
        <w:spacing w:before="312" w:after="312"/>
      </w:pPr>
      <w:bookmarkStart w:id="8" w:name="_Toc17233333"/>
      <w:bookmarkStart w:id="9" w:name="_Toc24884218"/>
      <w:bookmarkStart w:id="10" w:name="_Toc26986530"/>
      <w:bookmarkStart w:id="11" w:name="_Toc26648465"/>
      <w:bookmarkStart w:id="12" w:name="_Toc26718930"/>
      <w:bookmarkStart w:id="13" w:name="_Toc24884211"/>
      <w:bookmarkStart w:id="14" w:name="_Toc26986771"/>
      <w:bookmarkStart w:id="15" w:name="_Toc17233325"/>
      <w:r>
        <w:rPr>
          <w:rFonts w:hint="eastAsia"/>
        </w:rPr>
        <w:t>范围</w:t>
      </w:r>
      <w:bookmarkEnd w:id="8"/>
      <w:bookmarkEnd w:id="9"/>
      <w:bookmarkEnd w:id="10"/>
      <w:bookmarkEnd w:id="11"/>
      <w:bookmarkEnd w:id="12"/>
      <w:bookmarkEnd w:id="13"/>
      <w:bookmarkEnd w:id="14"/>
      <w:bookmarkEnd w:id="15"/>
    </w:p>
    <w:p w14:paraId="40FDA260">
      <w:pPr>
        <w:pStyle w:val="57"/>
        <w:ind w:firstLine="420"/>
      </w:pPr>
      <w:bookmarkStart w:id="16" w:name="_Toc26648466"/>
      <w:bookmarkStart w:id="17" w:name="_Toc17233326"/>
      <w:bookmarkStart w:id="18" w:name="_Toc24884212"/>
      <w:bookmarkStart w:id="19" w:name="_Toc17233334"/>
      <w:bookmarkStart w:id="20" w:name="_Toc24884219"/>
      <w:r>
        <w:rPr>
          <w:rFonts w:hint="eastAsia"/>
        </w:rPr>
        <w:t>本文件提供了单边医疗保险人员在职转退休申办的服务对象、实施主体、申请条件、办理材料、办理流程、办理时限、办理途径、服务监督、评价与改进存档等等方面的指导。</w:t>
      </w:r>
    </w:p>
    <w:p w14:paraId="5D4B1151">
      <w:pPr>
        <w:pStyle w:val="57"/>
        <w:ind w:firstLine="420"/>
      </w:pPr>
      <w:r>
        <w:rPr>
          <w:rFonts w:hint="eastAsia"/>
        </w:rPr>
        <w:t>本文件适用于单边医疗保险人员在职转退休申办的</w:t>
      </w:r>
      <w:r>
        <w:rPr>
          <w:rFonts w:hint="eastAsia" w:ascii="Calibri" w:hAnsi="Calibri"/>
          <w:kern w:val="2"/>
          <w:szCs w:val="21"/>
          <w:lang w:bidi="ar"/>
        </w:rPr>
        <w:t>服务工作</w:t>
      </w:r>
      <w:r>
        <w:rPr>
          <w:rFonts w:hint="eastAsia"/>
        </w:rPr>
        <w:t>。</w:t>
      </w:r>
    </w:p>
    <w:p w14:paraId="23E44577">
      <w:pPr>
        <w:pStyle w:val="105"/>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749B56F">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C21694">
      <w:pPr>
        <w:pStyle w:val="57"/>
        <w:ind w:firstLine="420"/>
      </w:pPr>
      <w:r>
        <w:rPr>
          <w:rFonts w:hint="eastAsia"/>
        </w:rPr>
        <w:t>GB/T 27768  社会保险服务总则</w:t>
      </w:r>
    </w:p>
    <w:p w14:paraId="7DE8E887">
      <w:pPr>
        <w:pStyle w:val="57"/>
        <w:ind w:firstLine="420"/>
      </w:pPr>
      <w:r>
        <w:rPr>
          <w:rFonts w:hint="eastAsia"/>
        </w:rPr>
        <w:t>GB/T 31596.1  社会保险术语  第1部分：通用</w:t>
      </w:r>
    </w:p>
    <w:p w14:paraId="6B2D8F28">
      <w:pPr>
        <w:pStyle w:val="57"/>
        <w:ind w:firstLine="420"/>
      </w:pPr>
      <w:r>
        <w:rPr>
          <w:rFonts w:hint="eastAsia"/>
        </w:rPr>
        <w:t>GB/T 31596.4  社会保险术语  第4部分：</w:t>
      </w:r>
      <w:r>
        <w:t>医疗保险</w:t>
      </w:r>
    </w:p>
    <w:p w14:paraId="4DD9E525">
      <w:pPr>
        <w:pStyle w:val="57"/>
        <w:ind w:firstLine="420"/>
      </w:pPr>
      <w:r>
        <w:rPr>
          <w:rFonts w:hint="eastAsia"/>
        </w:rPr>
        <w:t>GB/T 31599  社会保险业务档案管理规范</w:t>
      </w:r>
    </w:p>
    <w:p w14:paraId="3B38A0C5">
      <w:pPr>
        <w:pStyle w:val="57"/>
        <w:ind w:firstLine="420"/>
      </w:pPr>
      <w:r>
        <w:rPr>
          <w:rFonts w:hint="eastAsia"/>
        </w:rPr>
        <w:t>待制定  海南省医疗保险业务档案管理规范</w:t>
      </w:r>
    </w:p>
    <w:p w14:paraId="067C87BA">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6F9C18">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3EC4476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0AF3BF24">
      <w:pPr>
        <w:pStyle w:val="57"/>
        <w:ind w:firstLine="420"/>
      </w:pPr>
      <w:r>
        <w:rPr>
          <w:rFonts w:hint="eastAsia"/>
        </w:rPr>
        <w:t>自然人、企业法人、事业法人、社会组织法人、非法人企业、行政机关、其他组织。</w:t>
      </w:r>
    </w:p>
    <w:p w14:paraId="43F88C90">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31354AE7">
      <w:pPr>
        <w:pStyle w:val="57"/>
        <w:ind w:firstLine="420"/>
      </w:pPr>
      <w:r>
        <w:rPr>
          <w:rFonts w:hint="eastAsia"/>
          <w:color w:val="000000" w:themeColor="text1"/>
          <w14:textFill>
            <w14:solidFill>
              <w14:schemeClr w14:val="tx1"/>
            </w14:solidFill>
          </w14:textFill>
        </w:rPr>
        <w:t>全省各级医疗保险经办机构。</w:t>
      </w:r>
    </w:p>
    <w:p w14:paraId="64874A8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543B367">
      <w:pPr>
        <w:pStyle w:val="57"/>
        <w:ind w:firstLine="420"/>
      </w:pPr>
      <w:r>
        <w:rPr>
          <w:rFonts w:hint="eastAsia"/>
        </w:rPr>
        <w:t>单边医疗保险人员在职转退休申办，需符合以下条件：</w:t>
      </w:r>
    </w:p>
    <w:p w14:paraId="01464865">
      <w:pPr>
        <w:pStyle w:val="175"/>
      </w:pPr>
      <w:r>
        <w:rPr>
          <w:rFonts w:hint="eastAsia"/>
        </w:rPr>
        <w:t>符合法定退休情形并办理退休手续；</w:t>
      </w:r>
    </w:p>
    <w:p w14:paraId="0B9B9173">
      <w:pPr>
        <w:pStyle w:val="175"/>
      </w:pPr>
      <w:r>
        <w:rPr>
          <w:rFonts w:hint="eastAsia"/>
        </w:rPr>
        <w:t>在我省没有企业和机关养老保险养老金待遇的参保人</w:t>
      </w:r>
      <w:r>
        <w:rPr>
          <w:rFonts w:hint="eastAsia"/>
          <w:lang w:eastAsia="zh-CN"/>
        </w:rPr>
        <w:t>；</w:t>
      </w:r>
    </w:p>
    <w:p w14:paraId="0053F33B">
      <w:pPr>
        <w:pStyle w:val="175"/>
      </w:pPr>
      <w:r>
        <w:rPr>
          <w:rFonts w:hint="eastAsia"/>
          <w:lang w:eastAsia="zh-CN"/>
        </w:rPr>
        <w:t>在我省参加城镇从业人员基本医疗保险的参保人</w:t>
      </w:r>
      <w:r>
        <w:rPr>
          <w:rFonts w:hint="eastAsia"/>
        </w:rPr>
        <w:t>。</w:t>
      </w:r>
    </w:p>
    <w:p w14:paraId="2FA6DC2D">
      <w:pPr>
        <w:pStyle w:val="105"/>
        <w:spacing w:before="312" w:after="312"/>
      </w:pPr>
      <w:r>
        <w:rPr>
          <w:rFonts w:hint="eastAsia"/>
        </w:rPr>
        <w:t>办理材料</w:t>
      </w:r>
    </w:p>
    <w:p w14:paraId="2F598319">
      <w:pPr>
        <w:pStyle w:val="57"/>
        <w:ind w:firstLine="420"/>
        <w:rPr>
          <w:kern w:val="2"/>
          <w:szCs w:val="21"/>
        </w:rPr>
      </w:pPr>
      <w:r>
        <w:rPr>
          <w:rFonts w:hint="eastAsia"/>
        </w:rPr>
        <w:t>单边医疗保险人员在职转退休申办，需提供以下材料：</w:t>
      </w:r>
    </w:p>
    <w:p w14:paraId="180734DE">
      <w:pPr>
        <w:pStyle w:val="175"/>
        <w:numPr>
          <w:ilvl w:val="0"/>
          <w:numId w:val="33"/>
        </w:numPr>
      </w:pPr>
      <w:r>
        <w:rPr>
          <w:rFonts w:hint="eastAsia"/>
        </w:rPr>
        <w:t>有效身份证件；</w:t>
      </w:r>
    </w:p>
    <w:p w14:paraId="6783F9DE">
      <w:pPr>
        <w:pStyle w:val="175"/>
        <w:numPr>
          <w:ilvl w:val="0"/>
          <w:numId w:val="33"/>
        </w:numPr>
      </w:pPr>
      <w:r>
        <w:rPr>
          <w:rFonts w:hint="eastAsia"/>
        </w:rPr>
        <w:t>退休审批表；</w:t>
      </w:r>
    </w:p>
    <w:p w14:paraId="4D15B5F4">
      <w:pPr>
        <w:pStyle w:val="175"/>
        <w:numPr>
          <w:ilvl w:val="0"/>
          <w:numId w:val="33"/>
        </w:numPr>
      </w:pPr>
      <w:r>
        <w:rPr>
          <w:rFonts w:hint="eastAsia"/>
        </w:rPr>
        <w:t>养老保险待遇核定材料；</w:t>
      </w:r>
    </w:p>
    <w:p w14:paraId="54F23897">
      <w:pPr>
        <w:pStyle w:val="175"/>
        <w:numPr>
          <w:ilvl w:val="0"/>
          <w:numId w:val="33"/>
        </w:numPr>
      </w:pPr>
      <w:r>
        <w:rPr>
          <w:rFonts w:hint="eastAsia"/>
        </w:rPr>
        <w:t>养老保险缴费明细材料；</w:t>
      </w:r>
    </w:p>
    <w:p w14:paraId="6B71E8B9">
      <w:pPr>
        <w:pStyle w:val="175"/>
        <w:numPr>
          <w:ilvl w:val="0"/>
          <w:numId w:val="33"/>
        </w:numPr>
      </w:pPr>
      <w:r>
        <w:rPr>
          <w:rFonts w:hint="eastAsia"/>
        </w:rPr>
        <w:t>养老保险视同缴费年限明细材料；</w:t>
      </w:r>
    </w:p>
    <w:p w14:paraId="0BF9E251">
      <w:pPr>
        <w:pStyle w:val="175"/>
        <w:numPr>
          <w:ilvl w:val="0"/>
          <w:numId w:val="33"/>
        </w:numPr>
      </w:pPr>
      <w:r>
        <w:rPr>
          <w:rFonts w:hint="eastAsia"/>
        </w:rPr>
        <w:t>退休人员医疗视同维护申请佐证材料</w:t>
      </w:r>
      <w:r>
        <w:rPr>
          <w:rFonts w:hint="eastAsia"/>
          <w:lang w:eastAsia="zh-CN"/>
        </w:rPr>
        <w:t>；</w:t>
      </w:r>
    </w:p>
    <w:p w14:paraId="0C6C007D">
      <w:pPr>
        <w:pStyle w:val="175"/>
        <w:numPr>
          <w:ilvl w:val="0"/>
          <w:numId w:val="33"/>
        </w:numPr>
      </w:pPr>
      <w:r>
        <w:rPr>
          <w:rFonts w:hint="eastAsia"/>
        </w:rPr>
        <w:t>参保人人事档案（本省非人社系统养老提供，仅线下办理）。</w:t>
      </w:r>
    </w:p>
    <w:p w14:paraId="265B84B1">
      <w:pPr>
        <w:pStyle w:val="180"/>
      </w:pPr>
      <w:r>
        <w:rPr>
          <w:rFonts w:hint="eastAsia"/>
        </w:rPr>
        <w:t>有效身份证件：中华人民共和国居民身份证（临时居民身份证）、社会保障卡、港澳居民居住证、台湾居民定居证、港澳居民来往内地通行证、台湾居民来往大陆通行证、外国人护照。</w:t>
      </w:r>
    </w:p>
    <w:p w14:paraId="1FFE4681">
      <w:pPr>
        <w:pStyle w:val="105"/>
        <w:spacing w:before="312" w:after="312"/>
      </w:pPr>
      <w:r>
        <w:rPr>
          <w:rFonts w:hint="eastAsia"/>
        </w:rPr>
        <w:t>办理流程</w:t>
      </w:r>
    </w:p>
    <w:p w14:paraId="78E39249">
      <w:pPr>
        <w:pStyle w:val="106"/>
        <w:spacing w:before="156" w:after="156"/>
        <w:ind w:left="0"/>
      </w:pPr>
      <w:r>
        <w:t>流程</w:t>
      </w:r>
      <w:bookmarkStart w:id="28" w:name="_GoBack"/>
      <w:bookmarkEnd w:id="28"/>
    </w:p>
    <w:p w14:paraId="4D6FE90A">
      <w:pPr>
        <w:pStyle w:val="57"/>
        <w:ind w:firstLine="420"/>
      </w:pPr>
      <w:r>
        <w:rPr>
          <w:rFonts w:hint="eastAsia"/>
        </w:rPr>
        <w:t>单边医疗保险人员在职转退休申办流程包括：受理、审核、决定和归档，流程图见附录A。</w:t>
      </w:r>
    </w:p>
    <w:p w14:paraId="594BFB79">
      <w:pPr>
        <w:pStyle w:val="106"/>
        <w:spacing w:before="156" w:after="156"/>
        <w:ind w:left="0"/>
      </w:pPr>
      <w:r>
        <w:rPr>
          <w:rFonts w:hint="eastAsia"/>
        </w:rPr>
        <w:t>受理</w:t>
      </w:r>
    </w:p>
    <w:p w14:paraId="52FB3ECD">
      <w:pPr>
        <w:pStyle w:val="57"/>
        <w:ind w:firstLine="420"/>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0BA52341">
      <w:pPr>
        <w:pStyle w:val="106"/>
        <w:spacing w:before="156" w:after="156"/>
        <w:ind w:left="0"/>
      </w:pPr>
      <w:r>
        <w:rPr>
          <w:rFonts w:hint="eastAsia"/>
        </w:rPr>
        <w:t>审核</w:t>
      </w:r>
    </w:p>
    <w:p w14:paraId="594633DA">
      <w:pPr>
        <w:pStyle w:val="57"/>
        <w:ind w:firstLine="420"/>
      </w:pPr>
      <w:r>
        <w:rPr>
          <w:rFonts w:hint="eastAsia"/>
        </w:rPr>
        <w:t>对受理作出的意见进行全面审核，审核通过进入决定环节。</w:t>
      </w:r>
    </w:p>
    <w:p w14:paraId="754017B8">
      <w:pPr>
        <w:pStyle w:val="106"/>
        <w:spacing w:before="156" w:after="156"/>
        <w:ind w:left="0"/>
      </w:pPr>
      <w:r>
        <w:rPr>
          <w:rFonts w:hint="eastAsia"/>
        </w:rPr>
        <w:t>决定</w:t>
      </w:r>
    </w:p>
    <w:p w14:paraId="36DAF2C4">
      <w:pPr>
        <w:pStyle w:val="57"/>
        <w:ind w:firstLine="420"/>
      </w:pPr>
      <w:r>
        <w:rPr>
          <w:rFonts w:hint="eastAsia"/>
        </w:rPr>
        <w:t>申请符合有关法律法规规定的，准予通过；不符合有关法律法规规定的，不准予通过，出具办理不通过通知书告知申请人。</w:t>
      </w:r>
    </w:p>
    <w:p w14:paraId="08A02C0A">
      <w:pPr>
        <w:pStyle w:val="106"/>
        <w:spacing w:before="156" w:after="156"/>
        <w:ind w:left="0"/>
      </w:pPr>
      <w:r>
        <w:rPr>
          <w:rFonts w:hint="eastAsia"/>
        </w:rPr>
        <w:t>归档</w:t>
      </w:r>
    </w:p>
    <w:p w14:paraId="03C61F27">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62A5D263">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0E851B26">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rPr>
          <w:rFonts w:ascii="宋体" w:hAnsi="Times New Roman"/>
          <w:kern w:val="0"/>
          <w:szCs w:val="20"/>
        </w:rPr>
        <w:t>8</w:t>
      </w:r>
      <w:r>
        <w:t> </w:t>
      </w:r>
      <w:r>
        <w:rPr>
          <w:rFonts w:hint="eastAsia" w:ascii="宋体" w:hAnsi="Times New Roman"/>
          <w:kern w:val="0"/>
          <w:szCs w:val="20"/>
        </w:rPr>
        <w:t>个工作日内办结。</w:t>
      </w:r>
    </w:p>
    <w:p w14:paraId="236F4BF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7FC1D6F5">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4A6076DB">
      <w:pPr>
        <w:pStyle w:val="57"/>
        <w:ind w:firstLine="420"/>
        <w:rPr>
          <w:color w:val="FF0000"/>
        </w:rPr>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r>
        <w:rPr>
          <w:rFonts w:hint="eastAsia"/>
        </w:rPr>
        <w:t>。</w:t>
      </w:r>
    </w:p>
    <w:p w14:paraId="71BC812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67B3ADF3">
      <w:pPr>
        <w:pStyle w:val="106"/>
        <w:spacing w:before="156" w:after="156"/>
        <w:ind w:left="0"/>
      </w:pPr>
      <w:r>
        <w:rPr>
          <w:rFonts w:hint="eastAsia"/>
        </w:rPr>
        <w:t>服务</w:t>
      </w:r>
      <w:r>
        <w:t>监督</w:t>
      </w:r>
    </w:p>
    <w:p w14:paraId="73253BFC">
      <w:pPr>
        <w:pStyle w:val="57"/>
        <w:ind w:firstLine="420"/>
      </w:pPr>
      <w:r>
        <w:rPr>
          <w:rFonts w:hint="eastAsia"/>
        </w:rPr>
        <w:t>主动向社会公示服务内容、服务流程、投诉渠道等信息，维护服务对象的知情权，接受行政监督和社会监督。</w:t>
      </w:r>
    </w:p>
    <w:p w14:paraId="767B2449">
      <w:pPr>
        <w:pStyle w:val="106"/>
        <w:spacing w:before="156" w:after="156"/>
        <w:ind w:left="0"/>
      </w:pPr>
      <w:r>
        <w:rPr>
          <w:rFonts w:hint="eastAsia"/>
        </w:rPr>
        <w:t>投诉处理</w:t>
      </w:r>
    </w:p>
    <w:p w14:paraId="6D2BFA87">
      <w:pPr>
        <w:pStyle w:val="57"/>
        <w:ind w:firstLine="420"/>
      </w:pPr>
      <w:r>
        <w:rPr>
          <w:rFonts w:hint="eastAsia"/>
        </w:rPr>
        <w:t>提供现场、信函、电话、网络等投诉渠道，有专门部门和工作人员负责调查，处理服务对象的投诉，并将投诉处理结果告知投诉人。</w:t>
      </w:r>
    </w:p>
    <w:p w14:paraId="4B37108B">
      <w:pPr>
        <w:pStyle w:val="57"/>
        <w:ind w:firstLine="420"/>
      </w:pPr>
      <w:r>
        <w:rPr>
          <w:rFonts w:hint="eastAsia"/>
        </w:rPr>
        <w:t>监督投诉方式：</w:t>
      </w:r>
      <w:r>
        <w:t>0898-12345。</w:t>
      </w:r>
    </w:p>
    <w:p w14:paraId="1A8275F2">
      <w:pPr>
        <w:pStyle w:val="106"/>
        <w:spacing w:before="156" w:after="156"/>
        <w:ind w:left="0"/>
      </w:pPr>
      <w:r>
        <w:rPr>
          <w:rFonts w:hint="eastAsia"/>
        </w:rPr>
        <w:t>服务质量评价与</w:t>
      </w:r>
      <w:r>
        <w:t>改进</w:t>
      </w:r>
    </w:p>
    <w:p w14:paraId="19F38967">
      <w:pPr>
        <w:pStyle w:val="166"/>
      </w:pPr>
      <w:r>
        <w:rPr>
          <w:rFonts w:hint="eastAsia"/>
        </w:rPr>
        <w:t>采取内部评价与外部评价相结合，开展以服务对象满意度测评为核心要素的服务质量评价。</w:t>
      </w:r>
    </w:p>
    <w:p w14:paraId="2EEAE8A5">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04EBCC93">
      <w:pPr>
        <w:pStyle w:val="57"/>
        <w:ind w:firstLine="420"/>
      </w:pPr>
    </w:p>
    <w:p w14:paraId="6513D394">
      <w:pPr>
        <w:widowControl/>
        <w:adjustRightInd/>
        <w:spacing w:line="240" w:lineRule="auto"/>
        <w:jc w:val="left"/>
        <w:rPr>
          <w:rFonts w:ascii="宋体" w:hAnsi="Times New Roman"/>
          <w:kern w:val="0"/>
          <w:szCs w:val="20"/>
        </w:rPr>
      </w:pPr>
      <w:r>
        <w:br w:type="page"/>
      </w:r>
    </w:p>
    <w:p w14:paraId="44A8CD1A">
      <w:pPr>
        <w:pStyle w:val="77"/>
        <w:spacing w:after="156"/>
      </w:pPr>
      <w:r>
        <w:br w:type="textWrapping"/>
      </w:r>
      <w:r>
        <w:rPr>
          <w:rFonts w:hint="eastAsia"/>
        </w:rPr>
        <w:t>（规范性）</w:t>
      </w:r>
      <w:r>
        <w:br w:type="textWrapping"/>
      </w:r>
      <w:r>
        <w:rPr>
          <w:rFonts w:hint="eastAsia"/>
        </w:rPr>
        <w:t>单边医疗保险人员在职转退休申办流程图</w:t>
      </w:r>
    </w:p>
    <w:p w14:paraId="1AD12D59">
      <w:pPr>
        <w:pStyle w:val="57"/>
        <w:ind w:firstLine="420"/>
      </w:pPr>
      <w:r>
        <w:rPr>
          <w:rFonts w:hint="eastAsia"/>
        </w:rPr>
        <w:t>图A.1 单边医疗保险人员在职转退休申办流程图。</w:t>
      </w:r>
    </w:p>
    <w:p w14:paraId="65C56D12">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F5FE3E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7F5FE3E5">
                      <w:pPr>
                        <w:jc w:val="center"/>
                      </w:pPr>
                      <w:r>
                        <w:rPr>
                          <w:rFonts w:hint="eastAsia"/>
                        </w:rPr>
                        <w:t>不合格</w:t>
                      </w:r>
                    </w:p>
                  </w:txbxContent>
                </v:textbox>
              </v:shape>
            </w:pict>
          </mc:Fallback>
        </mc:AlternateContent>
      </w:r>
    </w:p>
    <w:p w14:paraId="61F63F27">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D51E3E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2D51E3EC">
                      <w:pPr>
                        <w:jc w:val="center"/>
                      </w:pPr>
                      <w:r>
                        <w:rPr>
                          <w:rFonts w:hint="eastAsia"/>
                        </w:rPr>
                        <w:t>受理</w:t>
                      </w:r>
                    </w:p>
                  </w:txbxContent>
                </v:textbox>
              </v:shape>
            </w:pict>
          </mc:Fallback>
        </mc:AlternateContent>
      </w:r>
    </w:p>
    <w:p w14:paraId="3EE19F6C">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1690370</wp:posOffset>
                </wp:positionH>
                <wp:positionV relativeFrom="paragraph">
                  <wp:posOffset>73660</wp:posOffset>
                </wp:positionV>
                <wp:extent cx="0" cy="1966595"/>
                <wp:effectExtent l="76200" t="0" r="57150" b="52705"/>
                <wp:wrapNone/>
                <wp:docPr id="749345358" name="直接箭头连接符 21"/>
                <wp:cNvGraphicFramePr/>
                <a:graphic xmlns:a="http://schemas.openxmlformats.org/drawingml/2006/main">
                  <a:graphicData uri="http://schemas.microsoft.com/office/word/2010/wordprocessingShape">
                    <wps:wsp>
                      <wps:cNvCnPr/>
                      <wps:spPr bwMode="auto">
                        <a:xfrm>
                          <a:off x="0" y="0"/>
                          <a:ext cx="0" cy="1966595"/>
                        </a:xfrm>
                        <a:prstGeom prst="straightConnector1">
                          <a:avLst/>
                        </a:prstGeom>
                        <a:noFill/>
                        <a:ln w="9525">
                          <a:solidFill>
                            <a:srgbClr val="000000"/>
                          </a:solidFill>
                          <a:round/>
                          <a:tailEnd type="triangle"/>
                        </a:ln>
                      </wps:spPr>
                      <wps:bodyPr/>
                    </wps:wsp>
                  </a:graphicData>
                </a:graphic>
              </wp:anchor>
            </w:drawing>
          </mc:Choice>
          <mc:Fallback>
            <w:pict>
              <v:shape id="直接箭头连接符 21" o:spid="_x0000_s1026" o:spt="32" type="#_x0000_t32" style="position:absolute;left:0pt;margin-left:133.1pt;margin-top:5.8pt;height:154.85pt;width:0pt;z-index:251675648;mso-width-relative:page;mso-height-relative:page;" filled="f" stroked="t" coordsize="21600,21600" o:gfxdata="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TmQaNgAAAAKAQAADwAAAAAAAAABACAAAAAiAAAAZHJzL2Rvd25yZXYueG1sUEsBAhQA&#10;FAAAAAgAh07iQDL5biLyAQAAsQMAAA4AAAAAAAAAAQAgAAAAJwEAAGRycy9lMm9Eb2MueG1sUEsF&#10;BgAAAAAGAAYAWQEAAIs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0ADCD6B">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8E443E6">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08E443E6">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AE30BD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7AE30BD3">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6AE843F">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6D8734E">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6D8734E">
                      <w:pPr>
                        <w:jc w:val="center"/>
                      </w:pPr>
                      <w:r>
                        <w:rPr>
                          <w:rFonts w:hint="eastAsia"/>
                        </w:rPr>
                        <w:t>审核</w:t>
                      </w:r>
                    </w:p>
                  </w:txbxContent>
                </v:textbox>
              </v:shape>
            </w:pict>
          </mc:Fallback>
        </mc:AlternateContent>
      </w:r>
    </w:p>
    <w:p w14:paraId="001440D4">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2407B3A0">
      <w:pPr>
        <w:pStyle w:val="57"/>
        <w:ind w:firstLine="0" w:firstLineChars="0"/>
        <w:jc w:val="center"/>
      </w:pPr>
      <w:r>
        <mc:AlternateContent>
          <mc:Choice Requires="wps">
            <w:drawing>
              <wp:anchor distT="0" distB="0" distL="114300" distR="114300" simplePos="0" relativeHeight="251671552"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546CF7E">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4928;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7546CF7E">
                      <w:pPr>
                        <w:jc w:val="center"/>
                      </w:pPr>
                      <w:r>
                        <w:rPr>
                          <w:rFonts w:hint="eastAsia"/>
                        </w:rPr>
                        <w:t>合格</w:t>
                      </w:r>
                    </w:p>
                  </w:txbxContent>
                </v:textbox>
              </v:shape>
            </w:pict>
          </mc:Fallback>
        </mc:AlternateContent>
      </w:r>
      <w:r>
        <mc:AlternateContent>
          <mc:Choice Requires="wpg">
            <w:drawing>
              <wp:anchor distT="0" distB="0" distL="114300" distR="114300" simplePos="0" relativeHeight="251670528"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7E9B40ED">
                              <w:pPr>
                                <w:jc w:val="center"/>
                              </w:pPr>
                              <w:r>
                                <w:rPr>
                                  <w:rFonts w:hint="eastAsia"/>
                                </w:rPr>
                                <w:t>决定</w:t>
                              </w:r>
                            </w:p>
                            <w:p w14:paraId="2516B132">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0528;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7E9B40ED">
                        <w:pPr>
                          <w:jc w:val="center"/>
                        </w:pPr>
                        <w:r>
                          <w:rPr>
                            <w:rFonts w:hint="eastAsia"/>
                          </w:rPr>
                          <w:t>决定</w:t>
                        </w:r>
                      </w:p>
                      <w:p w14:paraId="2516B132">
                        <w:pPr>
                          <w:jc w:val="center"/>
                        </w:pPr>
                      </w:p>
                    </w:txbxContent>
                  </v:textbox>
                </v:shape>
              </v:group>
            </w:pict>
          </mc:Fallback>
        </mc:AlternateContent>
      </w:r>
    </w:p>
    <w:p w14:paraId="5682B3DA">
      <w:pPr>
        <w:pStyle w:val="57"/>
        <w:ind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1803400</wp:posOffset>
                </wp:positionH>
                <wp:positionV relativeFrom="paragraph">
                  <wp:posOffset>155575</wp:posOffset>
                </wp:positionV>
                <wp:extent cx="893445" cy="425450"/>
                <wp:effectExtent l="0" t="0" r="1905" b="0"/>
                <wp:wrapNone/>
                <wp:docPr id="205514281" name="文本框 205514281"/>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1F10C36">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pt;margin-top:12.25pt;height:33.5pt;width:70.35pt;z-index:-251641856;mso-width-relative:page;mso-height-relative:page;" fillcolor="#FFFFFF [3201]" filled="t" stroked="f" coordsize="21600,21600" o:gfxdata="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69hRl1gAAAAkB&#10;AAAPAAAAAAAAAAEAIAAAACIAAABkcnMvZG93bnJldi54bWxQSwECFAAUAAAACACHTuJAGiGjUVYC&#10;AACeBAAADgAAAAAAAAABACAAAAAlAQAAZHJzL2Uyb0RvYy54bWxQSwUGAAAAAAYABgBZAQAA7QUA&#10;AAAA&#10;">
                <v:fill on="t" focussize="0,0"/>
                <v:stroke on="f" weight="0.5pt"/>
                <v:imagedata o:title=""/>
                <o:lock v:ext="edit" aspectratio="f"/>
                <v:textbox>
                  <w:txbxContent>
                    <w:p w14:paraId="61F10C36">
                      <w:pPr>
                        <w:jc w:val="center"/>
                      </w:pPr>
                      <w:r>
                        <w:t>不</w:t>
                      </w:r>
                      <w:r>
                        <w:rPr>
                          <w:rFonts w:hint="eastAsia"/>
                        </w:rPr>
                        <w:t>合格</w:t>
                      </w:r>
                    </w:p>
                  </w:txbxContent>
                </v:textbox>
              </v:shape>
            </w:pict>
          </mc:Fallback>
        </mc:AlternateContent>
      </w:r>
    </w:p>
    <w:p w14:paraId="6F3A988B">
      <w:pPr>
        <w:pStyle w:val="57"/>
        <w:ind w:firstLine="0" w:firstLineChars="0"/>
        <w:jc w:val="center"/>
      </w:pPr>
    </w:p>
    <w:p w14:paraId="35FB1158">
      <w:pPr>
        <w:pStyle w:val="84"/>
        <w:numPr>
          <w:ilvl w:val="0"/>
          <w:numId w:val="0"/>
        </w:numPr>
        <w:spacing w:before="156" w:after="156"/>
        <w:jc w:val="both"/>
      </w:pPr>
      <w:r>
        <mc:AlternateContent>
          <mc:Choice Requires="wps">
            <w:drawing>
              <wp:anchor distT="0" distB="0" distL="114300" distR="114300" simplePos="0" relativeHeight="251673600" behindDoc="0" locked="0" layoutInCell="1" allowOverlap="1">
                <wp:simplePos x="0" y="0"/>
                <wp:positionH relativeFrom="column">
                  <wp:posOffset>1708785</wp:posOffset>
                </wp:positionH>
                <wp:positionV relativeFrom="paragraph">
                  <wp:posOffset>117475</wp:posOffset>
                </wp:positionV>
                <wp:extent cx="1114425" cy="0"/>
                <wp:effectExtent l="0" t="0" r="0" b="0"/>
                <wp:wrapNone/>
                <wp:docPr id="1522132080"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55pt;margin-top:9.25pt;height:0pt;width:87.75pt;z-index:251673600;mso-width-relative:page;mso-height-relative:page;" filled="f" stroked="t" coordsize="21600,21600" o:gfxdata="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raWHW1gAAAAkBAAAPAAAAAAAAAAEA&#10;IAAAACIAAABkcnMvZG93bnJldi54bWxQSwECFAAUAAAACACHTuJAWpinG9gBAACMAwAADgAAAAAA&#10;AAABACAAAAAlAQAAZHJzL2Uyb0RvYy54bWxQSwUGAAAAAAYABgBZAQAAbwU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2576" behindDoc="0" locked="0" layoutInCell="1" allowOverlap="1">
                <wp:simplePos x="0" y="0"/>
                <wp:positionH relativeFrom="column">
                  <wp:posOffset>2823845</wp:posOffset>
                </wp:positionH>
                <wp:positionV relativeFrom="paragraph">
                  <wp:posOffset>311150</wp:posOffset>
                </wp:positionV>
                <wp:extent cx="1295400" cy="719455"/>
                <wp:effectExtent l="0" t="0" r="19050" b="23495"/>
                <wp:wrapNone/>
                <wp:docPr id="983149488"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2057092362" name="直接箭头连接符 2057092362"/>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8506817" name="文本框 1488506817"/>
                        <wps:cNvSpPr txBox="1"/>
                        <wps:spPr>
                          <a:xfrm>
                            <a:off x="0" y="329184"/>
                            <a:ext cx="1295400" cy="390525"/>
                          </a:xfrm>
                          <a:prstGeom prst="rect">
                            <a:avLst/>
                          </a:prstGeom>
                          <a:solidFill>
                            <a:schemeClr val="lt1"/>
                          </a:solidFill>
                          <a:ln w="6350">
                            <a:solidFill>
                              <a:prstClr val="black"/>
                            </a:solidFill>
                          </a:ln>
                        </wps:spPr>
                        <wps:txbx>
                          <w:txbxContent>
                            <w:p w14:paraId="5ED4C535">
                              <w:pPr>
                                <w:jc w:val="center"/>
                              </w:pPr>
                              <w:r>
                                <w:rPr>
                                  <w:rFonts w:hint="eastAsia"/>
                                </w:rPr>
                                <w:t>归档</w:t>
                              </w:r>
                            </w:p>
                            <w:p w14:paraId="239E6B15">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35pt;margin-top:24.5pt;height:56.65pt;width:102pt;z-index:251672576;mso-width-relative:page;mso-height-relative:page;" coordsize="1295400,719709" o:gfxdata="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AxOQXDaAAAACgEAAA8AAAAAAAAAAQAg&#10;AAAAIgAAAGRycy9kb3ducmV2LnhtbFBLAQIUABQAAAAIAIdO4kAg6XOYmwMAACw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2HhuWcMAAADj&#10;AAAADwAAAGRycy9kb3ducmV2LnhtbEWPS2vDMBCE74H+B7GF3hLJNs3DjZJDwdBDKeTRnhdra7ux&#10;VkZSneTfR4FCj8PMfMOstxfbi5F86BxryGYKBHHtTMeNhuOhmi5BhIhssHdMGq4UYLt5mKyxNO7M&#10;Oxr3sREJwqFEDW2MQyllqFuyGGZuIE7et/MWY5K+kcbjOcFtL3Ol5tJix2mhxYFeW6pP+1+r4f1j&#10;tTyesnGsqvrrp/BcYSE/tX56zNQLiEiX+B/+a78ZDbl6XqhVXsxzuH9Kf0Bu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Y&#10;eG5ZwwAAAOM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s3cVE74AAADj&#10;AAAADwAAAGRycy9kb3ducmV2LnhtbEVPT2vCMBS/C36H8ARvmlRnVzqjsMFAdlN72e3RPNuy5qUk&#10;mdVvb4TBju/3/233N9uLK/nQOdaQLRUI4tqZjhsN1flzUYAIEdlg75g03CnAfjedbLE0buQjXU+x&#10;ESmEQ4ka2hiHUspQt2QxLN1AnLiL8xZjOn0jjccxhdterpTKpcWOU0OLA320VP+cfq2GQ/4ev6ky&#10;X2a9WruxkrW/9EHr+SxTbyAi3eK/+M99MGn+S1FsVF5kr/D8KQEgd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3cVE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5ED4C535">
                        <w:pPr>
                          <w:jc w:val="center"/>
                        </w:pPr>
                        <w:r>
                          <w:rPr>
                            <w:rFonts w:hint="eastAsia"/>
                          </w:rPr>
                          <w:t>归档</w:t>
                        </w:r>
                      </w:p>
                      <w:p w14:paraId="239E6B15">
                        <w:pPr>
                          <w:jc w:val="center"/>
                        </w:pPr>
                      </w:p>
                    </w:txbxContent>
                  </v:textbox>
                </v:shape>
              </v:group>
            </w:pict>
          </mc:Fallback>
        </mc:AlternateContent>
      </w:r>
    </w:p>
    <w:p w14:paraId="7BD538C1">
      <w:pPr>
        <w:pStyle w:val="57"/>
        <w:ind w:firstLine="420"/>
      </w:pPr>
    </w:p>
    <w:p w14:paraId="3DEF3182">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1031240</wp:posOffset>
                </wp:positionH>
                <wp:positionV relativeFrom="paragraph">
                  <wp:posOffset>78740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0C134DDB">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2pt;margin-top:6.2pt;height:30.75pt;width:103.5pt;z-index:251665408;mso-width-relative:page;mso-height-relative:page;" fillcolor="#FFFFFF [3201]" filled="t" stroked="t" coordsize="21600,21600" o:gfxdata="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Biue&#10;kN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0C134DDB">
                      <w:pPr>
                        <w:jc w:val="center"/>
                      </w:pPr>
                      <w:r>
                        <w:rPr>
                          <w:rFonts w:hint="eastAsia"/>
                        </w:rPr>
                        <w:t>一次性告知申请人</w:t>
                      </w:r>
                    </w:p>
                  </w:txbxContent>
                </v:textbox>
              </v:shape>
            </w:pict>
          </mc:Fallback>
        </mc:AlternateContent>
      </w:r>
    </w:p>
    <w:p w14:paraId="1C4B2990">
      <w:pPr>
        <w:pStyle w:val="57"/>
        <w:ind w:firstLine="420"/>
      </w:pPr>
    </w:p>
    <w:p w14:paraId="0A862AEB">
      <w:pPr>
        <w:pStyle w:val="57"/>
        <w:ind w:firstLine="420"/>
      </w:pPr>
    </w:p>
    <w:p w14:paraId="58293649">
      <w:pPr>
        <w:pStyle w:val="57"/>
        <w:ind w:firstLine="420"/>
      </w:pPr>
    </w:p>
    <w:p w14:paraId="40148236">
      <w:pPr>
        <w:pStyle w:val="84"/>
        <w:spacing w:before="156" w:after="156"/>
      </w:pPr>
      <w:r>
        <w:rPr>
          <w:rFonts w:hint="eastAsia"/>
        </w:rPr>
        <w:t>单边医疗保险人员在职转退休申办流程图</w:t>
      </w:r>
    </w:p>
    <w:p w14:paraId="6DD41679">
      <w:pPr>
        <w:widowControl/>
        <w:adjustRightInd/>
        <w:spacing w:line="240" w:lineRule="auto"/>
        <w:jc w:val="left"/>
        <w:rPr>
          <w:rFonts w:ascii="宋体" w:hAnsi="Times New Roman"/>
          <w:kern w:val="0"/>
          <w:szCs w:val="20"/>
        </w:rPr>
      </w:pPr>
      <w:r>
        <w:br w:type="page"/>
      </w:r>
    </w:p>
    <w:bookmarkEnd w:id="25"/>
    <w:p w14:paraId="7C6F1D62">
      <w:pPr>
        <w:pStyle w:val="64"/>
        <w:spacing w:after="156"/>
      </w:pPr>
      <w:bookmarkStart w:id="26" w:name="BookMark6"/>
      <w:r>
        <w:rPr>
          <w:rFonts w:hint="eastAsia"/>
          <w:spacing w:val="105"/>
        </w:rPr>
        <w:t>参考文</w:t>
      </w:r>
      <w:r>
        <w:rPr>
          <w:rFonts w:hint="eastAsia"/>
        </w:rPr>
        <w:t>献</w:t>
      </w:r>
    </w:p>
    <w:p w14:paraId="4DC73B80">
      <w:pPr>
        <w:pStyle w:val="57"/>
        <w:numPr>
          <w:ilvl w:val="0"/>
          <w:numId w:val="34"/>
        </w:numPr>
        <w:ind w:firstLine="420" w:firstLineChars="0"/>
      </w:pPr>
      <w:r>
        <w:rPr>
          <w:rFonts w:hint="eastAsia"/>
        </w:rPr>
        <w:t>《中华人民共和国社会保险法》（ 中华人民共和国主席令 第</w:t>
      </w:r>
      <w:r>
        <w:t> </w:t>
      </w:r>
      <w:r>
        <w:rPr>
          <w:rFonts w:hint="eastAsia"/>
        </w:rPr>
        <w:t>35</w:t>
      </w:r>
      <w:r>
        <w:t> </w:t>
      </w:r>
      <w:r>
        <w:rPr>
          <w:rFonts w:hint="eastAsia"/>
        </w:rPr>
        <w:t>号 ）</w:t>
      </w:r>
    </w:p>
    <w:p w14:paraId="6F4283ED">
      <w:pPr>
        <w:pStyle w:val="57"/>
        <w:numPr>
          <w:ilvl w:val="0"/>
          <w:numId w:val="34"/>
        </w:numPr>
        <w:ind w:firstLine="420" w:firstLineChars="0"/>
      </w:pPr>
      <w:r>
        <w:rPr>
          <w:rFonts w:hint="eastAsia"/>
        </w:rPr>
        <w:t>《海南省城镇从业人员基本医疗保险条例实施细则》（ 海南省人民政府令 第</w:t>
      </w:r>
      <w:r>
        <w:t> </w:t>
      </w:r>
      <w:r>
        <w:rPr>
          <w:rFonts w:hint="eastAsia"/>
        </w:rPr>
        <w:t>313</w:t>
      </w:r>
      <w:r>
        <w:t> </w:t>
      </w:r>
      <w:r>
        <w:rPr>
          <w:rFonts w:hint="eastAsia"/>
        </w:rPr>
        <w:t>号 ）</w:t>
      </w:r>
    </w:p>
    <w:p w14:paraId="65CC008C">
      <w:pPr>
        <w:pStyle w:val="57"/>
        <w:numPr>
          <w:ilvl w:val="0"/>
          <w:numId w:val="34"/>
        </w:numPr>
        <w:ind w:firstLine="420" w:firstLineChars="0"/>
      </w:pPr>
      <w:r>
        <w:rPr>
          <w:rFonts w:hint="eastAsia"/>
        </w:rPr>
        <w:t>《关于自主择业军队转业干部达到法定退休年龄后个人医疗保险费有关事项的通知》（ 琼人社发〔2018〕</w:t>
      </w:r>
      <w:r>
        <w:t> </w:t>
      </w:r>
      <w:r>
        <w:rPr>
          <w:rFonts w:hint="eastAsia"/>
        </w:rPr>
        <w:t>132</w:t>
      </w:r>
      <w:r>
        <w:t> </w:t>
      </w:r>
      <w:r>
        <w:rPr>
          <w:rFonts w:hint="eastAsia"/>
        </w:rPr>
        <w:t>号）</w:t>
      </w:r>
    </w:p>
    <w:bookmarkEnd w:id="26"/>
    <w:p w14:paraId="5E3DF8F6">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79D8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6CF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F22A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FD8A">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DBA9">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6245">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37883">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7C22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F925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0AF3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5D548">
    <w:pPr>
      <w:pStyle w:val="62"/>
      <w:rPr>
        <w:rFonts w:hint="eastAsia"/>
      </w:rPr>
    </w:pPr>
    <w:r>
      <w:fldChar w:fldCharType="begin"/>
    </w:r>
    <w:r>
      <w:instrText xml:space="preserve"> STYLEREF  标准文件_文件编号  \* MERGEFORMAT </w:instrText>
    </w:r>
    <w:r>
      <w:fldChar w:fldCharType="separate"/>
    </w:r>
    <w:r>
      <w:t>Q/YLBZ 23—2025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3830D">
    <w:pPr>
      <w:pStyle w:val="63"/>
      <w:rPr>
        <w:rFonts w:hint="eastAsia"/>
      </w:rPr>
    </w:pPr>
    <w:r>
      <w:fldChar w:fldCharType="begin"/>
    </w:r>
    <w:r>
      <w:instrText xml:space="preserve"> STYLEREF  标准文件_文件编号 \* MERGEFORMAT </w:instrText>
    </w:r>
    <w:r>
      <w:fldChar w:fldCharType="separate"/>
    </w:r>
    <w:r>
      <w:t>Q/YLBZ 23—2025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4C238">
    <w:pPr>
      <w:pStyle w:val="62"/>
      <w:rPr>
        <w:rFonts w:hint="eastAsia"/>
      </w:rPr>
    </w:pPr>
    <w:r>
      <w:fldChar w:fldCharType="begin"/>
    </w:r>
    <w:r>
      <w:instrText xml:space="preserve"> STYLEREF  标准文件_文件编号  \* MERGEFORMAT </w:instrText>
    </w:r>
    <w:r>
      <w:fldChar w:fldCharType="separate"/>
    </w:r>
    <w:r>
      <w:t>Q/YLBZ 23—2025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3E1B4">
    <w:pPr>
      <w:pStyle w:val="63"/>
      <w:rPr>
        <w:rFonts w:hint="eastAsia"/>
      </w:rPr>
    </w:pPr>
    <w:r>
      <w:fldChar w:fldCharType="begin"/>
    </w:r>
    <w:r>
      <w:instrText xml:space="preserve"> STYLEREF  标准文件_文件编号 \* MERGEFORMAT </w:instrText>
    </w:r>
    <w:r>
      <w:fldChar w:fldCharType="separate"/>
    </w:r>
    <w:r>
      <w:t>Q/YLBZ 23—2025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3M1proxnxa9YBO8MUR+KHVM30eVozUz+gUKSl0sg6nr1wnPqICu/SQKaHaPjyey6nsUfgPd/RHdPTqLxge7HJg==" w:salt="qU1BxFkDzu0kIBYYrWYz0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1FE9"/>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4C2"/>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5BC2"/>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1D56"/>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4AE8"/>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48D"/>
    <w:rsid w:val="002505CB"/>
    <w:rsid w:val="0025079B"/>
    <w:rsid w:val="00250888"/>
    <w:rsid w:val="00250B25"/>
    <w:rsid w:val="00250BBE"/>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B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3CBD"/>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150"/>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BEE"/>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B55"/>
    <w:rsid w:val="004E1C0A"/>
    <w:rsid w:val="004E30C5"/>
    <w:rsid w:val="004E4AA5"/>
    <w:rsid w:val="004E4AEE"/>
    <w:rsid w:val="004E57BF"/>
    <w:rsid w:val="004E59E3"/>
    <w:rsid w:val="004E67C0"/>
    <w:rsid w:val="004E6A81"/>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6BC"/>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442"/>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6910"/>
    <w:rsid w:val="007F75CE"/>
    <w:rsid w:val="008013A4"/>
    <w:rsid w:val="008027CE"/>
    <w:rsid w:val="00802F42"/>
    <w:rsid w:val="00803407"/>
    <w:rsid w:val="00804383"/>
    <w:rsid w:val="00804BB7"/>
    <w:rsid w:val="00804D41"/>
    <w:rsid w:val="00810257"/>
    <w:rsid w:val="008104F5"/>
    <w:rsid w:val="00811072"/>
    <w:rsid w:val="00811369"/>
    <w:rsid w:val="00814DE3"/>
    <w:rsid w:val="00815419"/>
    <w:rsid w:val="008163C8"/>
    <w:rsid w:val="008164A1"/>
    <w:rsid w:val="00816F23"/>
    <w:rsid w:val="00817325"/>
    <w:rsid w:val="008209E6"/>
    <w:rsid w:val="0082307A"/>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10"/>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0C62"/>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554B"/>
    <w:rsid w:val="009062E6"/>
    <w:rsid w:val="00911BE5"/>
    <w:rsid w:val="00913313"/>
    <w:rsid w:val="00913362"/>
    <w:rsid w:val="0091373D"/>
    <w:rsid w:val="00913CA9"/>
    <w:rsid w:val="009145AE"/>
    <w:rsid w:val="009146CE"/>
    <w:rsid w:val="00914CA7"/>
    <w:rsid w:val="00915C3E"/>
    <w:rsid w:val="009161A8"/>
    <w:rsid w:val="00922EE6"/>
    <w:rsid w:val="0092456D"/>
    <w:rsid w:val="009245F5"/>
    <w:rsid w:val="009249EC"/>
    <w:rsid w:val="009273B3"/>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13B3"/>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4FF0"/>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254"/>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45A"/>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392C"/>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188"/>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37"/>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5F0"/>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44DF"/>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5602"/>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3210"/>
    <w:rsid w:val="00FC4090"/>
    <w:rsid w:val="00FC4FC5"/>
    <w:rsid w:val="00FC55B4"/>
    <w:rsid w:val="00FC646D"/>
    <w:rsid w:val="00FD00E6"/>
    <w:rsid w:val="00FD09A1"/>
    <w:rsid w:val="00FD2A7C"/>
    <w:rsid w:val="00FD59EB"/>
    <w:rsid w:val="00FD70C2"/>
    <w:rsid w:val="00FD7299"/>
    <w:rsid w:val="00FD7B3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3CE6FBC"/>
    <w:rsid w:val="04A32790"/>
    <w:rsid w:val="09153CCC"/>
    <w:rsid w:val="0B886108"/>
    <w:rsid w:val="0BF654DA"/>
    <w:rsid w:val="0C3E178C"/>
    <w:rsid w:val="0E853073"/>
    <w:rsid w:val="1534197E"/>
    <w:rsid w:val="15504279"/>
    <w:rsid w:val="19295F35"/>
    <w:rsid w:val="1B74679A"/>
    <w:rsid w:val="204A1885"/>
    <w:rsid w:val="267620C8"/>
    <w:rsid w:val="29E749F9"/>
    <w:rsid w:val="2DFB5B15"/>
    <w:rsid w:val="2F0A0B1E"/>
    <w:rsid w:val="32AB6927"/>
    <w:rsid w:val="376744E6"/>
    <w:rsid w:val="38E075A3"/>
    <w:rsid w:val="3A671908"/>
    <w:rsid w:val="3C9C7718"/>
    <w:rsid w:val="3EAA0E86"/>
    <w:rsid w:val="45C83899"/>
    <w:rsid w:val="460F5A38"/>
    <w:rsid w:val="492B6619"/>
    <w:rsid w:val="4AFE5D24"/>
    <w:rsid w:val="59E54F9C"/>
    <w:rsid w:val="5D886856"/>
    <w:rsid w:val="61EF80A6"/>
    <w:rsid w:val="62375BD7"/>
    <w:rsid w:val="6278717D"/>
    <w:rsid w:val="63A61260"/>
    <w:rsid w:val="65F51133"/>
    <w:rsid w:val="67FF9D4A"/>
    <w:rsid w:val="6AA43001"/>
    <w:rsid w:val="6B96396E"/>
    <w:rsid w:val="6CB322FE"/>
    <w:rsid w:val="709C0046"/>
    <w:rsid w:val="739C3AEB"/>
    <w:rsid w:val="7860158C"/>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7B4B3948">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40BC156">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0003CE4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F2222"/>
    <w:rsid w:val="00210B7F"/>
    <w:rsid w:val="00253893"/>
    <w:rsid w:val="00256F57"/>
    <w:rsid w:val="002B4AC7"/>
    <w:rsid w:val="002B5CE0"/>
    <w:rsid w:val="002C221E"/>
    <w:rsid w:val="002D3C17"/>
    <w:rsid w:val="002D59EF"/>
    <w:rsid w:val="002D7121"/>
    <w:rsid w:val="002E4C05"/>
    <w:rsid w:val="00332D80"/>
    <w:rsid w:val="00333AD5"/>
    <w:rsid w:val="00336F91"/>
    <w:rsid w:val="00373505"/>
    <w:rsid w:val="003C227D"/>
    <w:rsid w:val="003D4A66"/>
    <w:rsid w:val="003E48C7"/>
    <w:rsid w:val="004424A4"/>
    <w:rsid w:val="00442B88"/>
    <w:rsid w:val="004671DF"/>
    <w:rsid w:val="00473FC9"/>
    <w:rsid w:val="00475B81"/>
    <w:rsid w:val="00481DD2"/>
    <w:rsid w:val="00497486"/>
    <w:rsid w:val="004B4B58"/>
    <w:rsid w:val="004D05CD"/>
    <w:rsid w:val="00521F85"/>
    <w:rsid w:val="005276D1"/>
    <w:rsid w:val="00530F92"/>
    <w:rsid w:val="005619B3"/>
    <w:rsid w:val="005C6321"/>
    <w:rsid w:val="00600A55"/>
    <w:rsid w:val="00615A00"/>
    <w:rsid w:val="006365F7"/>
    <w:rsid w:val="00681EBF"/>
    <w:rsid w:val="00706744"/>
    <w:rsid w:val="007228F7"/>
    <w:rsid w:val="007249EC"/>
    <w:rsid w:val="007374DB"/>
    <w:rsid w:val="007503EC"/>
    <w:rsid w:val="0075442D"/>
    <w:rsid w:val="00790C58"/>
    <w:rsid w:val="007C1527"/>
    <w:rsid w:val="00801E36"/>
    <w:rsid w:val="00843907"/>
    <w:rsid w:val="00866762"/>
    <w:rsid w:val="00870230"/>
    <w:rsid w:val="00870674"/>
    <w:rsid w:val="00881BCD"/>
    <w:rsid w:val="0089344F"/>
    <w:rsid w:val="008A2689"/>
    <w:rsid w:val="008F3AF1"/>
    <w:rsid w:val="008F6673"/>
    <w:rsid w:val="0090175A"/>
    <w:rsid w:val="00936B91"/>
    <w:rsid w:val="00951A26"/>
    <w:rsid w:val="00960FB8"/>
    <w:rsid w:val="00971354"/>
    <w:rsid w:val="009950AE"/>
    <w:rsid w:val="009C50AC"/>
    <w:rsid w:val="009C7213"/>
    <w:rsid w:val="009D1DE8"/>
    <w:rsid w:val="009D490F"/>
    <w:rsid w:val="00A44E98"/>
    <w:rsid w:val="00A46637"/>
    <w:rsid w:val="00A4798C"/>
    <w:rsid w:val="00AA0BD1"/>
    <w:rsid w:val="00B26BF7"/>
    <w:rsid w:val="00B7432F"/>
    <w:rsid w:val="00BB7A3C"/>
    <w:rsid w:val="00BE4F96"/>
    <w:rsid w:val="00C31817"/>
    <w:rsid w:val="00C434C5"/>
    <w:rsid w:val="00C52771"/>
    <w:rsid w:val="00C74246"/>
    <w:rsid w:val="00C75182"/>
    <w:rsid w:val="00C86552"/>
    <w:rsid w:val="00C966BA"/>
    <w:rsid w:val="00CC08FE"/>
    <w:rsid w:val="00CE180F"/>
    <w:rsid w:val="00CF170D"/>
    <w:rsid w:val="00D265B4"/>
    <w:rsid w:val="00D4517D"/>
    <w:rsid w:val="00D93CA1"/>
    <w:rsid w:val="00DA658A"/>
    <w:rsid w:val="00DA69B2"/>
    <w:rsid w:val="00DB4ED4"/>
    <w:rsid w:val="00DE5D39"/>
    <w:rsid w:val="00DF3589"/>
    <w:rsid w:val="00E22479"/>
    <w:rsid w:val="00E25076"/>
    <w:rsid w:val="00E470C7"/>
    <w:rsid w:val="00E62E5F"/>
    <w:rsid w:val="00E71625"/>
    <w:rsid w:val="00EA7917"/>
    <w:rsid w:val="00EE58E2"/>
    <w:rsid w:val="00F02C39"/>
    <w:rsid w:val="00F03326"/>
    <w:rsid w:val="00F44506"/>
    <w:rsid w:val="00F76702"/>
    <w:rsid w:val="00FB357B"/>
    <w:rsid w:val="00FC646D"/>
    <w:rsid w:val="00FC7279"/>
    <w:rsid w:val="00FE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1581</Words>
  <Characters>1744</Characters>
  <Lines>96</Lines>
  <Paragraphs>105</Paragraphs>
  <TotalTime>20</TotalTime>
  <ScaleCrop>false</ScaleCrop>
  <LinksUpToDate>false</LinksUpToDate>
  <CharactersWithSpaces>1789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2025-06-27T02:53:05Z</dcterms:modified>
  <dc:title>企业标准</dc:title>
  <cp:revision>389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